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232" w:rsidRDefault="007E2F0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232" w:rsidRDefault="001C72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C7232" w:rsidRPr="002C2DD7" w:rsidRDefault="007E2F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C2DD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1C7232" w:rsidRPr="002C2DD7" w:rsidRDefault="007E2F0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C2DD7">
        <w:rPr>
          <w:rFonts w:ascii="Arial" w:hAnsi="Arial" w:cs="Arial"/>
          <w:sz w:val="28"/>
          <w:szCs w:val="28"/>
        </w:rPr>
        <w:t>(созыв 2021-2026)</w:t>
      </w:r>
    </w:p>
    <w:p w:rsidR="001C7232" w:rsidRPr="002C2DD7" w:rsidRDefault="001C72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C7232" w:rsidRPr="002C2DD7" w:rsidRDefault="007E2F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C2DD7">
        <w:rPr>
          <w:rFonts w:ascii="Arial" w:hAnsi="Arial" w:cs="Arial"/>
          <w:b/>
          <w:sz w:val="28"/>
          <w:szCs w:val="28"/>
        </w:rPr>
        <w:t>РЕШЕНИЕ</w:t>
      </w:r>
    </w:p>
    <w:p w:rsidR="001C7232" w:rsidRPr="002C2DD7" w:rsidRDefault="001C72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C7232" w:rsidRPr="002C2DD7" w:rsidRDefault="007E2F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C2DD7">
        <w:rPr>
          <w:rFonts w:ascii="Arial" w:hAnsi="Arial" w:cs="Arial"/>
          <w:b/>
          <w:sz w:val="28"/>
          <w:szCs w:val="28"/>
        </w:rPr>
        <w:t xml:space="preserve">от </w:t>
      </w:r>
      <w:r w:rsidR="002C2DD7">
        <w:rPr>
          <w:rFonts w:ascii="Arial" w:hAnsi="Arial" w:cs="Arial"/>
          <w:b/>
          <w:sz w:val="28"/>
          <w:szCs w:val="28"/>
        </w:rPr>
        <w:t>28 февраля</w:t>
      </w:r>
      <w:r w:rsidRPr="002C2DD7">
        <w:rPr>
          <w:rFonts w:ascii="Arial" w:hAnsi="Arial" w:cs="Arial"/>
          <w:b/>
          <w:sz w:val="28"/>
          <w:szCs w:val="28"/>
        </w:rPr>
        <w:t xml:space="preserve"> 2024 года № </w:t>
      </w:r>
      <w:r w:rsidR="00DB00BF">
        <w:rPr>
          <w:rFonts w:ascii="Arial" w:hAnsi="Arial" w:cs="Arial"/>
          <w:b/>
          <w:sz w:val="28"/>
          <w:szCs w:val="28"/>
        </w:rPr>
        <w:t>232</w:t>
      </w:r>
    </w:p>
    <w:p w:rsidR="001C7232" w:rsidRDefault="001C723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C7232" w:rsidRDefault="001C7232" w:rsidP="002C2DD7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C7232" w:rsidRDefault="007E2F0D" w:rsidP="002C2DD7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Положение «Об особо охраняемых природных территориях местного значения городского округа Ревда», утвержденное Решением Думы городского округа Ревда от 27.06.2018 № 217</w:t>
      </w:r>
    </w:p>
    <w:p w:rsidR="001C7232" w:rsidRDefault="001C72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C7232" w:rsidRDefault="001C72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C7232" w:rsidRDefault="007E2F0D" w:rsidP="002C2DD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В соответствии с Федеральным законом от 18.03.2023 № 77-ФЗ «О внесении изменений в отдельные акты Российской Федерации</w:t>
      </w:r>
      <w:r w:rsidR="002C2DD7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Федеральным законом от 14.03.1995 № 33-ФЗ «Об особо охраняемых природных территориях»,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31.10.2023 № 1809 «Об утверждении типовых правил расчета предельно допустимой рекреационной емкости особо охраняемых природных территорий регионального и местного значения при осуществлении туризма», </w:t>
      </w:r>
      <w:r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Ревда, Дума городского округа Ревда</w:t>
      </w:r>
    </w:p>
    <w:p w:rsidR="002C2DD7" w:rsidRDefault="002C2DD7" w:rsidP="002C2DD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C7232" w:rsidRDefault="007E2F0D" w:rsidP="002C2DD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="002C2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="002C2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Ш</w:t>
      </w:r>
      <w:r w:rsidR="002C2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</w:t>
      </w:r>
      <w:r w:rsidR="002C2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</w:t>
      </w:r>
      <w:r w:rsidR="002C2D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А:</w:t>
      </w:r>
    </w:p>
    <w:p w:rsidR="002C2DD7" w:rsidRDefault="002C2DD7" w:rsidP="002C2DD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C7232" w:rsidRDefault="007E2F0D" w:rsidP="002C2D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Внести в </w:t>
      </w:r>
      <w:r w:rsidR="002C2DD7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оложение «Об особо охраняемых природных территориях местного значения городского округа Ревда», утвержденное Решением Думы городского округа Ревда от 27.06.2018 № 217 (далее - Положение)</w:t>
      </w:r>
      <w:r w:rsidR="002C2DD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пункт 2 Главы 1 после слов «природные комплексы и объекты» дополнить словами «, объекты растительного и животного мира, естественные экологические системы»;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5 Главы 1 слова «организации, функционирования, использования» заменить словами «охраны и использования»;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8 Главы 1 слова «организации, функционирования, использования» заменить словами «охраны и использования»;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6 пункта 9 Главы 2 слово «воспитание» заменить на слово «просвещение»;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10 Главы 2 добавить подпункт «7) организация и осуществление туризма»;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22 Главы 5 слова «организации, охране и функционированию» заменить словами «охране и использованию»;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23 Главы 5 слова «организации, охране и функционированию» заменить словами «охране и использованию»;</w:t>
      </w:r>
    </w:p>
    <w:p w:rsidR="001C7232" w:rsidRDefault="007E2F0D" w:rsidP="002C2D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Дополнить Положение Главой 13 следующего содержания:</w:t>
      </w:r>
    </w:p>
    <w:p w:rsidR="002C2DD7" w:rsidRDefault="002C2DD7" w:rsidP="002C2D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C7232" w:rsidRDefault="007E2F0D" w:rsidP="002C2D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«Глава 13. ТУРИЗМ НА ООПТ МЕСТНОГО ЗНАЧЕНИЯ И ЕГО КРИТЕРИИ, ОСОБЕННОСТИ. 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42. Под туризмом на ООПТ местного значения (далее – туризм) понимаются временные выезды (путешествия) граждан Российской Федерации, иностранных граждан и лиц без гражданства с постоянного места жительства на ООПТ местного значения в целях посещения уникальных природных комплексов и объектов и иных предусмотренных настоящим Положением целях.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43. Основными критериями, особенностями организации и осуществления туризма на ООПТ местного значения являются: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 сохранение уникальных и типичных природных комплексов и объектов, объектов растительного и животного мира, естественных экологических систем, биоразнообразия;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б) минимизация негативного воздействия на окружающую среду при осуществлении туризма;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в) соблюдение установленной предельно допустимой рекреационной емкости ООПТ местного значения при осуществлении туризма (максимального количества посетителей, которые могут посетить в качестве туриста ООПТ местного значения либо ее отдельные части в единицу времени без деградации природных комплексов и объектов, объектов растительного и животного мира, естественных экологических систем), режима ее особой охраны;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г) осуществление туризма на специально оборудованных для этого местах и маршрутах;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д) сохранение объектов культурного наследия (памятников истории и культуры) народов Российской Федерации.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44. Организация туризма на ООПТ местного значения осуществляется органами местного самоуправления, в ведении которых находятся такие территории.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45. Органы местного самоуправления, в ведении которых находятся соответственно ООПТ местного значения, утверждают правила организации и осуществления туризма, в том числе обеспечения безопасности туризма на ООПТ местного значения, и порядок расчета предельно допустимой рекреационной емкости таких территорий при осуществлении туризма  (Приложение 2 к настоящему Положению) на основании утверждаемых Правительством Российской Федерации типовых правил организации и осуществления туризма, в том числе обеспечения безопасности туризма на особо охраняемых природных территориях регионального и местного значения, и типового порядка расчета предельно допустимой рекреационной емкости таких территорий при осуществлении туризма.»; </w:t>
      </w:r>
    </w:p>
    <w:p w:rsidR="001C7232" w:rsidRDefault="007E2F0D" w:rsidP="002C2DD7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1.9. </w:t>
      </w:r>
      <w:r w:rsidR="000307F6">
        <w:rPr>
          <w:rFonts w:ascii="Arial" w:hAnsi="Arial" w:cs="Arial"/>
          <w:sz w:val="24"/>
          <w:szCs w:val="24"/>
        </w:rPr>
        <w:t>Дополнить Положение Приложением №</w:t>
      </w:r>
      <w:r w:rsidR="00285F51">
        <w:rPr>
          <w:rFonts w:ascii="Arial" w:hAnsi="Arial" w:cs="Arial"/>
          <w:sz w:val="24"/>
          <w:szCs w:val="24"/>
        </w:rPr>
        <w:t xml:space="preserve"> </w:t>
      </w:r>
      <w:r w:rsidR="000307F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Порядок расчета предельно допустимой рекреационной емкости особо охраняемых природных территорий местного значения в рамках организации на их территориях туризма (прилагается).</w:t>
      </w:r>
    </w:p>
    <w:p w:rsidR="001C7232" w:rsidRDefault="007E2F0D" w:rsidP="002C2D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1C7232" w:rsidRDefault="007E2F0D" w:rsidP="002C2DD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постоянную депутатскую комиссию по муниципальной собственности и жилищно-коммунальному хозяйству.</w:t>
      </w:r>
    </w:p>
    <w:p w:rsidR="001C7232" w:rsidRDefault="001C7232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1C7232" w:rsidRDefault="001C723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7E2F0D" w:rsidRDefault="007E2F0D" w:rsidP="007E2F0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E2F0D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1C7232" w:rsidRPr="007E2F0D" w:rsidRDefault="007E2F0D" w:rsidP="007E2F0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E2F0D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E2F0D">
        <w:rPr>
          <w:rFonts w:ascii="Arial" w:hAnsi="Arial" w:cs="Arial"/>
          <w:b/>
          <w:i/>
          <w:sz w:val="24"/>
          <w:szCs w:val="24"/>
        </w:rPr>
        <w:tab/>
      </w:r>
      <w:r w:rsidRPr="007E2F0D">
        <w:rPr>
          <w:rFonts w:ascii="Arial" w:hAnsi="Arial" w:cs="Arial"/>
          <w:b/>
          <w:i/>
          <w:sz w:val="24"/>
          <w:szCs w:val="24"/>
        </w:rPr>
        <w:tab/>
        <w:t xml:space="preserve">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2C2DD7">
        <w:rPr>
          <w:rFonts w:ascii="Arial" w:hAnsi="Arial" w:cs="Arial"/>
          <w:b/>
          <w:i/>
          <w:sz w:val="24"/>
          <w:szCs w:val="24"/>
        </w:rPr>
        <w:t xml:space="preserve">   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7E2F0D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E2F0D">
        <w:rPr>
          <w:rFonts w:ascii="Arial" w:hAnsi="Arial" w:cs="Arial"/>
          <w:b/>
          <w:i/>
          <w:sz w:val="24"/>
          <w:szCs w:val="24"/>
        </w:rPr>
        <w:tab/>
      </w:r>
      <w:r w:rsidRPr="007E2F0D">
        <w:rPr>
          <w:rFonts w:ascii="Arial" w:hAnsi="Arial" w:cs="Arial"/>
          <w:b/>
          <w:i/>
          <w:sz w:val="24"/>
          <w:szCs w:val="24"/>
        </w:rPr>
        <w:tab/>
      </w:r>
    </w:p>
    <w:p w:rsidR="001C7232" w:rsidRPr="007E2F0D" w:rsidRDefault="007E2F0D" w:rsidP="007E2F0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E2F0D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1C7232" w:rsidRPr="007E2F0D" w:rsidRDefault="007E2F0D" w:rsidP="007E2F0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E2F0D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E2F0D">
        <w:rPr>
          <w:rFonts w:ascii="Arial" w:hAnsi="Arial" w:cs="Arial"/>
          <w:b/>
          <w:i/>
          <w:sz w:val="24"/>
          <w:szCs w:val="24"/>
        </w:rPr>
        <w:tab/>
      </w:r>
      <w:r w:rsidRPr="007E2F0D">
        <w:rPr>
          <w:rFonts w:ascii="Arial" w:hAnsi="Arial" w:cs="Arial"/>
          <w:b/>
          <w:i/>
          <w:sz w:val="24"/>
          <w:szCs w:val="24"/>
        </w:rPr>
        <w:tab/>
        <w:t xml:space="preserve">                               </w:t>
      </w:r>
      <w:r w:rsidRPr="007E2F0D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2C2DD7">
        <w:rPr>
          <w:rFonts w:ascii="Arial" w:hAnsi="Arial" w:cs="Arial"/>
          <w:b/>
          <w:i/>
          <w:sz w:val="24"/>
          <w:szCs w:val="24"/>
        </w:rPr>
        <w:t xml:space="preserve">    </w:t>
      </w:r>
      <w:r w:rsidRPr="007E2F0D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1C7232" w:rsidRDefault="001C7232">
      <w:pPr>
        <w:pStyle w:val="a3"/>
        <w:autoSpaceDE w:val="0"/>
        <w:autoSpaceDN w:val="0"/>
        <w:adjustRightInd w:val="0"/>
        <w:spacing w:after="0" w:line="276" w:lineRule="auto"/>
        <w:ind w:left="1069" w:hanging="785"/>
        <w:rPr>
          <w:rFonts w:ascii="Arial" w:hAnsi="Arial" w:cs="Arial"/>
          <w:b/>
          <w:i/>
          <w:sz w:val="24"/>
          <w:szCs w:val="24"/>
        </w:rPr>
      </w:pPr>
    </w:p>
    <w:p w:rsidR="001C7232" w:rsidRDefault="001C7232">
      <w:pPr>
        <w:pStyle w:val="a3"/>
        <w:autoSpaceDE w:val="0"/>
        <w:autoSpaceDN w:val="0"/>
        <w:adjustRightInd w:val="0"/>
        <w:spacing w:after="0" w:line="276" w:lineRule="auto"/>
        <w:ind w:left="1069" w:hanging="785"/>
        <w:rPr>
          <w:rFonts w:ascii="Arial" w:hAnsi="Arial" w:cs="Arial"/>
          <w:b/>
          <w:i/>
          <w:sz w:val="24"/>
          <w:szCs w:val="24"/>
        </w:rPr>
      </w:pPr>
    </w:p>
    <w:p w:rsidR="001C7232" w:rsidRDefault="001C7232">
      <w:pPr>
        <w:pStyle w:val="a3"/>
        <w:autoSpaceDE w:val="0"/>
        <w:autoSpaceDN w:val="0"/>
        <w:adjustRightInd w:val="0"/>
        <w:spacing w:after="0" w:line="276" w:lineRule="auto"/>
        <w:ind w:left="1069" w:hanging="785"/>
        <w:rPr>
          <w:rFonts w:ascii="Arial" w:hAnsi="Arial" w:cs="Arial"/>
          <w:b/>
          <w:i/>
          <w:sz w:val="24"/>
          <w:szCs w:val="24"/>
        </w:rPr>
      </w:pPr>
    </w:p>
    <w:p w:rsidR="007E2F0D" w:rsidRPr="002C2DD7" w:rsidRDefault="007E2F0D" w:rsidP="002C2DD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1C7232" w:rsidRDefault="007E2F0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2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Утвержден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Решением Думы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Городского округа Ревда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2C2DD7">
        <w:rPr>
          <w:rFonts w:ascii="Arial" w:eastAsia="Times New Roman" w:hAnsi="Arial" w:cs="Arial"/>
          <w:sz w:val="24"/>
          <w:szCs w:val="24"/>
          <w:lang w:eastAsia="ru-RU"/>
        </w:rPr>
        <w:t>28.02.2024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</w:t>
      </w:r>
      <w:r w:rsidR="00045FF8">
        <w:rPr>
          <w:rFonts w:ascii="Arial" w:eastAsia="Times New Roman" w:hAnsi="Arial" w:cs="Arial"/>
          <w:sz w:val="24"/>
          <w:szCs w:val="24"/>
          <w:lang w:eastAsia="ru-RU"/>
        </w:rPr>
        <w:t xml:space="preserve"> 232</w:t>
      </w:r>
    </w:p>
    <w:p w:rsidR="001C7232" w:rsidRDefault="001C7232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ПОРЯДОК РАСЧЕТА ПРЕДЕЛЬНО ДОПУСТИМОЙ РЕКРЕАЦИОННОЙ ЕМКОСТИ ОСОБО ОХРАНЯЕМЫХ ПРИРОДНЫХ ТЕРРИТОРИЙ МЕСТНОГО ЗНАЧЕНИЯ ПРИ ОСУЩЕСТВЛЕНИИ ТУРИЗМА</w:t>
      </w:r>
    </w:p>
    <w:p w:rsidR="001C7232" w:rsidRDefault="001C723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 Настоящий Порядок расчета предельно допустимой рекреационной емкости особо охраняемых природных территорий местного значения в рамках организации на их территориях туризма (далее – Порядок) разработан в соответствии с «Типовыми правилами расчета предельно допустимой рекреационной емкости особо охраняемых природных территорий регионального и местного значения при осуществлении туризма», утвержденными постановлением Правительства Российской Федерации от 3111.2023 № 1809.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 В целях настоящего Порядка используются следующие понятия: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«автономный многодневный туристский маршрут» – туристский маршрут, длящийся более одного дня, при котором туристы не используют места размещения (туристские базы, гостиницы, кемпинги) и пункты питания туристов;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«базовая рекреационная емкость» – максимальное количество человек, которые могут физически находиться на ООПТ местного значения или в отдельной части (на туристском объекте) в единицу времени;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«лимитирующий фактор развития туризма» – фактор, ограничивающий возможности развития туризма на ООПТ местного значения или в отдельной части (на туристском объекте) ввиду несовместимости туризма и обеспечения сохранности уникальных и типичных природных комплексов и объектов, объектов растительного и животного мира, естественных экологических систем, биоразнообразия в целях поддержания их в естественном состоянии, а также невозможности оказания посетителям услуг, соответствующих договору или обычно предъявляемым к ним требованиям, и снижения негативного воздействия на местную социокультурную среду;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«линейный туристский объект (туристский маршрут)» – путь следования туристов, расположенный на ООПТ местного значения, характеризующийся линейным характером воздействия на окружающую среду вдоль пути следования;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«многодневный туристский маршрут» – туристский маршрут, прохождение которого длится более одного дня, при котором туристы размещаются на ночевку в местах размещения;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«однодневный туристский маршрут» – туристский маршрут, прохождение которого совершается в течение дня, без использования мест размещения;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«площадной туристский объект» – туристский объект, занимающий определенный земельный участок или участок акватории, имеющий свои границы, характеризующийся свободным перемещением на нем посетителей и площадным (обширным, по всей площади объекта или его части) характером воздействия его на окружающую среду (стоянки, смотровые площадки, музеи, визит-центры, иные здания и сооружения для организации обслуживания туристов);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«потенциальная рекреационная емкость» – максимальное количество человек, которые могут находиться на ООПТ местного значения, в ее отдельной части или на туристском объекте в единицу времени без деградации природных комплексов и объектов, объектов растительного и животного мира, естественных экологических систем, с учетом факторов экологического, социального, социокультурного и социально-экономического характера;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«предельно допустимая рекреационная емкость»  – максимальное количество посетителей, которые могут посетить в качестве туриста ООПТ местного значения либо ее отдельные части в единицу времени без деградации природных комплексов и объектов, объектов растительного и животного мира, естественных экологических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систем;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«туристские объекты» – части ООПТ местного значения, включающие природные комплексы и объекты, историко-культурные объекты, инфраструктурные объекты (музеи, визит-центры, иные здания и сооружения для организации обслуживания туристов), привлекающие туристов и используемые для осуществления туризма.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Предельно допустимая рекреационная емкость определяется для ООПТ местного значения либо ее отдельных частей (туристских объектов).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 Предельно допустимая рекреационная емкость устанавливается органами местного самоуправления в отношении находящихся в их ведении ООПТ местного значения.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 Расчет предельно допустимой рекреационной емкости ООПТ местного значения, ее отдельной части осуществляется при выявлении изменения состояния туристских объектов, но не реже одного раза в 5 лет.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6. Предельно допустимая рекреационная емкость рассчитывается для ООПТ местного значения в целом, а также для ее отдельных частей (туристских объектов) и выражается в целочисленных значениях, человек в единицу времени.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7. Предельно допустимая рекреационная емкость ООПТ местного значения (</w:t>
      </w:r>
      <w:r>
        <w:rPr>
          <w:rFonts w:ascii="Arial" w:eastAsia="Times New Roman" w:hAnsi="Arial" w:cs="Arial"/>
          <w:noProof/>
          <w:position w:val="-11"/>
          <w:sz w:val="24"/>
          <w:szCs w:val="24"/>
          <w:lang w:eastAsia="ru-RU"/>
        </w:rPr>
        <w:drawing>
          <wp:inline distT="0" distB="0" distL="0" distR="0">
            <wp:extent cx="853440" cy="320040"/>
            <wp:effectExtent l="0" t="0" r="0" b="0"/>
            <wp:docPr id="2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6"/>
          <w:sz w:val="24"/>
          <w:szCs w:val="24"/>
          <w:lang w:eastAsia="ru-RU"/>
        </w:rPr>
        <w:drawing>
          <wp:inline distT="0" distB="0" distL="0" distR="0">
            <wp:extent cx="2146935" cy="38671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653415" cy="333375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предельно допустимая рекреационная емкость туристского объекта m, человек в единицу времени;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m - порядковый номер туристского объекта в границах особо охраняемой природной территории (1, 2, ... m).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8. Предельно допустимая рекреационная емкость туристского объекта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573405" cy="33337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1933575" cy="333375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546735" cy="333375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потенциальная рекреационная емкость туристского объекта, человек в единицу времени;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5"/>
          <w:sz w:val="24"/>
          <w:szCs w:val="24"/>
          <w:lang w:eastAsia="ru-RU"/>
        </w:rPr>
        <w:drawing>
          <wp:inline distT="0" distB="0" distL="0" distR="0">
            <wp:extent cx="386715" cy="253365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коэффициент управленческой емкости, долей от единицы.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9. Потенциальная рекреационная емкость рассчитывается для ООПТ местного значения в целом, а также для ее отдельных частей (туристских объектов) и выражается в целочисленных значениях, человек в единицу времени.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10. Потенциальная рекреационная емкость туристского объекта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546735" cy="333375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4"/>
          <w:sz w:val="24"/>
          <w:szCs w:val="24"/>
          <w:lang w:eastAsia="ru-RU"/>
        </w:rPr>
        <w:drawing>
          <wp:inline distT="0" distB="0" distL="0" distR="0">
            <wp:extent cx="2080260" cy="360045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573405" cy="333375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базовая рекреационная емкость туристского объекта, выраженная в целочисленном значении, человек в единицу времени;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1"/>
          <w:sz w:val="24"/>
          <w:szCs w:val="24"/>
          <w:lang w:eastAsia="ru-RU"/>
        </w:rPr>
        <w:drawing>
          <wp:inline distT="0" distB="0" distL="0" distR="0">
            <wp:extent cx="360045" cy="320040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поправочные коэффициенты, которые учитывают определенные для туристских объектов лимитирующие факторы развития туризма (экологического, социального и социокультурного характера) и установленные режимы использования туристских объектов;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n - количество поправочных коэффициентов.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11. Базовая рекреационная емкость туристских объектов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573405" cy="333375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для площадных и линейных туристских объектов (туристских маршрутов) рассчитывается по приведенным формулам и выражается в целочисленных значениях, человек в единицу времени.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12. Базовая рекреационная емкость для площадных туристских объектов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600075" cy="333375"/>
            <wp:effectExtent l="0" t="0" r="0" b="0"/>
            <wp:docPr id="1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29"/>
          <w:sz w:val="24"/>
          <w:szCs w:val="24"/>
          <w:lang w:eastAsia="ru-RU"/>
        </w:rPr>
        <w:drawing>
          <wp:inline distT="0" distB="0" distL="0" distR="0">
            <wp:extent cx="1960245" cy="546735"/>
            <wp:effectExtent l="0" t="0" r="0" b="0"/>
            <wp:docPr id="1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A - площадь туристского объекта, на которой осуществляется туризм, кв. метров;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Au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площадь туристского объекта, необходимая для одного посетителя при осуществлении туризма (кв. метров), определяемая в соответствии с порядком, указанным в п. 18 настоящего Порядка;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Rf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коэффициент возвращения, отражающий возможное количество посещений туристского объекта одним и тем же туристом в день;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t - количество дней в рассматриваемую единицу времени (месяц, сезон, год и др.), единиц.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13. Коэффициент возвращения (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Rf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29"/>
          <w:sz w:val="24"/>
          <w:szCs w:val="24"/>
          <w:lang w:eastAsia="ru-RU"/>
        </w:rPr>
        <w:drawing>
          <wp:inline distT="0" distB="0" distL="0" distR="0">
            <wp:extent cx="946785" cy="546735"/>
            <wp:effectExtent l="0" t="0" r="0" b="0"/>
            <wp:docPr id="1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T - количество часов в сутки, когда туристский объект доступен для посещения, часов;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Td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среднее время пребывания посетителя на туристском объекте, часов.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 Базовая рекреационная емкость для однодневных туристских маршрутов и многодневных туристских маршрутов с небольшой протяженностью или несколькими входами без ограничения времени посещения туристского маршрута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680085" cy="333375"/>
            <wp:effectExtent l="0" t="0" r="0" b="0"/>
            <wp:docPr id="1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41"/>
          <w:sz w:val="24"/>
          <w:szCs w:val="24"/>
          <w:lang w:eastAsia="ru-RU"/>
        </w:rPr>
        <w:drawing>
          <wp:inline distT="0" distB="0" distL="0" distR="0">
            <wp:extent cx="3627120" cy="706755"/>
            <wp:effectExtent l="0" t="0" r="0" b="0"/>
            <wp:docPr id="1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DT</w:t>
      </w:r>
      <w:r>
        <w:rPr>
          <w:rFonts w:ascii="Arial" w:eastAsia="Times New Roman" w:hAnsi="Arial" w:cs="Arial"/>
          <w:sz w:val="24"/>
          <w:szCs w:val="24"/>
          <w:vertAlign w:val="subscript"/>
          <w:lang w:eastAsia="ru-RU"/>
        </w:rPr>
        <w:t>p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длина однодневного туристского маршрута или однодневного участка p многодневного туристского маршрута в дневной переход, км;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DG</w:t>
      </w:r>
      <w:r>
        <w:rPr>
          <w:rFonts w:ascii="Arial" w:eastAsia="Times New Roman" w:hAnsi="Arial" w:cs="Arial"/>
          <w:sz w:val="24"/>
          <w:szCs w:val="24"/>
          <w:vertAlign w:val="subscript"/>
          <w:lang w:eastAsia="ru-RU"/>
        </w:rPr>
        <w:t>p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оптимальное расстояние между группами на участке p туристского маршрута, км;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Ts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длина светового дня или количество времени, когда туристский маршрут доступен для посетителей, часов;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Td</w:t>
      </w:r>
      <w:r>
        <w:rPr>
          <w:rFonts w:ascii="Arial" w:eastAsia="Times New Roman" w:hAnsi="Arial" w:cs="Arial"/>
          <w:sz w:val="24"/>
          <w:szCs w:val="24"/>
          <w:vertAlign w:val="subscript"/>
          <w:lang w:eastAsia="ru-RU"/>
        </w:rPr>
        <w:t>p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среднее время прохождения участка туристского маршрута p с учетом остановок, часов;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GS - среднее количество человек в группе (включая сопровождающих), человек;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p - порядковый номер однодневного участка туристского маршрута (1, 2, ... p);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</w:t>
      </w:r>
      <w:r>
        <w:rPr>
          <w:rFonts w:ascii="Arial" w:eastAsia="Times New Roman" w:hAnsi="Arial" w:cs="Arial"/>
          <w:sz w:val="24"/>
          <w:szCs w:val="24"/>
          <w:vertAlign w:val="subscript"/>
          <w:lang w:eastAsia="ru-RU"/>
        </w:rPr>
        <w:t>p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количество дней пребывания посетителей на туристском маршруте, единиц.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15. Базовая рекреационная емкость для однодневных и многодневных туристских маршрутов, время доступности которых строго фиксировано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693420" cy="333375"/>
            <wp:effectExtent l="0" t="0" r="0" b="0"/>
            <wp:docPr id="1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(например, в случае закрытия для посетителей входа и выхода с туристского маршрута или в целом с участка ООПТ местного значения в четко установленные часы),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35"/>
          <w:sz w:val="24"/>
          <w:szCs w:val="24"/>
          <w:lang w:eastAsia="ru-RU"/>
        </w:rPr>
        <w:lastRenderedPageBreak/>
        <w:drawing>
          <wp:inline distT="0" distB="0" distL="0" distR="0">
            <wp:extent cx="2773680" cy="626745"/>
            <wp:effectExtent l="0" t="0" r="0" b="0"/>
            <wp:docPr id="1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253365" cy="333375"/>
            <wp:effectExtent l="0" t="0" r="0" b="0"/>
            <wp:docPr id="2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максимальное количество групп, которые могут пройти в сутки по однодневному участку p туристского маршрута до его закрытия или до окончания светового дня, единиц.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16. Максимальное количество групп, которые могут пройти в сутки по однодневному участку туристского маршрута до его закрытия или до окончания светового дня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253365" cy="333375"/>
            <wp:effectExtent l="0" t="0" r="0" b="0"/>
            <wp:docPr id="2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), выражается целочисленным значением (единиц) и определяется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47"/>
          <w:sz w:val="24"/>
          <w:szCs w:val="24"/>
          <w:lang w:eastAsia="ru-RU"/>
        </w:rPr>
        <w:drawing>
          <wp:inline distT="0" distB="0" distL="0" distR="0">
            <wp:extent cx="2240280" cy="786765"/>
            <wp:effectExtent l="0" t="0" r="0" b="0"/>
            <wp:docPr id="2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v</w:t>
      </w:r>
      <w:r>
        <w:rPr>
          <w:rFonts w:ascii="Arial" w:eastAsia="Times New Roman" w:hAnsi="Arial" w:cs="Arial"/>
          <w:sz w:val="24"/>
          <w:szCs w:val="24"/>
          <w:vertAlign w:val="subscript"/>
          <w:lang w:eastAsia="ru-RU"/>
        </w:rPr>
        <w:t>p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- средняя скорость передвижения по однодневному участку p туристского маршрута с учетом остановок, км в час.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Количество групп выражается целочисленным значением, полученным после округления вычислений до ближайшего целого в меньшую сторону.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17. Базовая рекреационная емкость для автономных многодневных туристских маршрутов (</w:t>
      </w: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680085" cy="333375"/>
            <wp:effectExtent l="0" t="0" r="0" b="0"/>
            <wp:docPr id="2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>) рассчитывается по формуле: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2200275" cy="333375"/>
            <wp:effectExtent l="0" t="0" r="0" b="0"/>
            <wp:docPr id="2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где: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480060" cy="333375"/>
            <wp:effectExtent l="0" t="0" r="0" b="0"/>
            <wp:docPr id="2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- минимальное из рассчитанных для однодневных участков туристского маршрута значений максимального количества групп, которые могут пройти в сутки по однодневному участку p туристского маршрута до его закрытия или до окончания светового дня, единиц.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P121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18. Коэффициенты управленческой емкости, поправочные коэффициенты экологического, социального, социально-экономического и социокультурного характера и расчет их величин, а также площадь туристского объекта, необходимая для одного посетителя, определяются в рамках утверждаемого порядка расчета предельно допустимой рекреационной емкости органами местного самоуправления в отношении находящихся в их ведении ООПТ местного значения.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19. Определение коэффициентов управленческой емкости и поправочных коэффициентов основывается на учете следующих лимитирующих факторов развития туризма и управленческих параметров развития туризма: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1) экологические факторы, включая: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пожароопасность;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риск затопления, подтопления;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развитие эрозионных процессов;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погодные условия;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воздействие на объекты животного и растительного мира;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изменение состояния почвенного и растительного покрова;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изменение состояния, снижение эстетических свойств ландшафтов;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изменение состояния водных объектов;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2) факторы социального характера, включая: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соответствие ожиданий полученному опыту и общая удовлетворенность путешествием;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качество услуг и инфраструктуры;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отношение к управленческим действиям;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плотность социальных контактов;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3) факторы социокультурного характера, включая: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влияние туризма на местную социокультурную среду;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показатели гостеприимства и толерантности местного населения в отношении туристов;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906F5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bookmarkStart w:id="1" w:name="_GoBack"/>
      <w:bookmarkEnd w:id="1"/>
      <w:r>
        <w:rPr>
          <w:rFonts w:ascii="Arial" w:eastAsia="Times New Roman" w:hAnsi="Arial" w:cs="Arial"/>
          <w:sz w:val="24"/>
          <w:szCs w:val="24"/>
          <w:lang w:eastAsia="ru-RU"/>
        </w:rPr>
        <w:t>факторы социально-экономического характера, включая: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влияние туризма на особо охраняемой природной территории на социально-экономическую обстановку в регионе;</w:t>
      </w:r>
    </w:p>
    <w:p w:rsidR="001C7232" w:rsidRDefault="007E2F0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5) управленческие параметры, включая достаточность человеческих ресурсов, достаточность и качество объектов инфраструктуры.</w:t>
      </w:r>
    </w:p>
    <w:p w:rsidR="001C7232" w:rsidRDefault="001C723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C7232" w:rsidRDefault="001C7232">
      <w:pPr>
        <w:pStyle w:val="a3"/>
        <w:autoSpaceDE w:val="0"/>
        <w:autoSpaceDN w:val="0"/>
        <w:adjustRightInd w:val="0"/>
        <w:spacing w:after="0" w:line="276" w:lineRule="auto"/>
        <w:ind w:left="1069" w:hanging="785"/>
        <w:rPr>
          <w:rFonts w:ascii="Arial" w:hAnsi="Arial" w:cs="Arial"/>
          <w:bCs/>
          <w:iCs/>
          <w:sz w:val="24"/>
          <w:szCs w:val="24"/>
        </w:rPr>
      </w:pPr>
    </w:p>
    <w:sectPr w:rsidR="001C7232" w:rsidSect="0036766B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67BC5439"/>
    <w:multiLevelType w:val="hybridMultilevel"/>
    <w:tmpl w:val="C3D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232"/>
    <w:rsid w:val="000307F6"/>
    <w:rsid w:val="00045FF8"/>
    <w:rsid w:val="001C7232"/>
    <w:rsid w:val="00285F51"/>
    <w:rsid w:val="002C2DD7"/>
    <w:rsid w:val="0036766B"/>
    <w:rsid w:val="007E2F0D"/>
    <w:rsid w:val="00906F56"/>
    <w:rsid w:val="00DB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272BF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7</Pages>
  <Words>2351</Words>
  <Characters>13405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43</cp:revision>
  <cp:lastPrinted>2024-01-24T06:34:00Z</cp:lastPrinted>
  <dcterms:created xsi:type="dcterms:W3CDTF">2022-12-02T05:49:00Z</dcterms:created>
  <dcterms:modified xsi:type="dcterms:W3CDTF">2024-02-26T11:39:00Z</dcterms:modified>
</cp:coreProperties>
</file>